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E1AB" w14:textId="695997D9" w:rsidR="0005077A" w:rsidRDefault="00A61514" w:rsidP="0005077A">
      <w:pPr>
        <w:jc w:val="right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NACRT PRIJEDLOGA</w:t>
      </w:r>
    </w:p>
    <w:p w14:paraId="61AD6198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5385E374" w14:textId="420E603E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 w:rsidRPr="00AA0CFA">
        <w:rPr>
          <w:rFonts w:ascii="Arial" w:hAnsi="Arial" w:cs="Arial"/>
          <w:kern w:val="2"/>
          <w:sz w:val="22"/>
          <w:szCs w:val="22"/>
          <w:lang w:val="hr-HR"/>
        </w:rPr>
        <w:t xml:space="preserve">Na temelju članka </w:t>
      </w:r>
      <w:r w:rsidRPr="00AA0CFA">
        <w:rPr>
          <w:rFonts w:ascii="Arial" w:hAnsi="Arial"/>
          <w:sz w:val="22"/>
          <w:lang w:val="hr-HR"/>
        </w:rPr>
        <w:t>15. stavka 1</w:t>
      </w:r>
      <w:r>
        <w:rPr>
          <w:rFonts w:ascii="Arial" w:hAnsi="Arial"/>
          <w:sz w:val="22"/>
          <w:lang w:val="hr-HR"/>
        </w:rPr>
        <w:t>.</w:t>
      </w:r>
      <w:r w:rsidRPr="00AA0CFA">
        <w:rPr>
          <w:rFonts w:ascii="Arial" w:hAnsi="Arial"/>
          <w:sz w:val="22"/>
          <w:lang w:val="hr-HR"/>
        </w:rPr>
        <w:t xml:space="preserve"> Zakona o turističkoj pristojbi (Narodne novine 52/19</w:t>
      </w:r>
      <w:r>
        <w:rPr>
          <w:rFonts w:ascii="Arial" w:hAnsi="Arial"/>
          <w:sz w:val="22"/>
          <w:lang w:val="hr-HR"/>
        </w:rPr>
        <w:t>, 32/20 i 42/20)</w:t>
      </w:r>
      <w:r w:rsidRPr="00AA0CFA">
        <w:rPr>
          <w:rFonts w:ascii="Arial" w:hAnsi="Arial"/>
          <w:sz w:val="22"/>
          <w:lang w:val="hr-HR"/>
        </w:rPr>
        <w:t xml:space="preserve">, članka 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35. Zakona o lokalnoj i područnoj (regionalnoj) samoupravi („Narodne novine“ broj 33/01, 60/01 – vjerodostojn</w:t>
      </w:r>
      <w:r>
        <w:rPr>
          <w:rFonts w:ascii="Arial" w:hAnsi="Arial" w:cs="Arial"/>
          <w:kern w:val="2"/>
          <w:sz w:val="22"/>
          <w:szCs w:val="22"/>
          <w:lang w:val="hr-HR"/>
        </w:rPr>
        <w:t>o tumačenje, 129/05, 109/07, 125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/08, 36/09,150/11, 144/12, 19/13 – pročišćeni tek</w:t>
      </w:r>
      <w:r>
        <w:rPr>
          <w:rFonts w:ascii="Arial" w:hAnsi="Arial" w:cs="Arial"/>
          <w:kern w:val="2"/>
          <w:sz w:val="22"/>
          <w:szCs w:val="22"/>
          <w:lang w:val="hr-HR"/>
        </w:rPr>
        <w:t xml:space="preserve">st, 137/15 – ispravak, 123/17, 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98/19</w:t>
      </w:r>
      <w:r>
        <w:rPr>
          <w:rFonts w:ascii="Arial" w:hAnsi="Arial" w:cs="Arial"/>
          <w:kern w:val="2"/>
          <w:sz w:val="22"/>
          <w:szCs w:val="22"/>
          <w:lang w:val="hr-HR"/>
        </w:rPr>
        <w:t xml:space="preserve"> i 144/20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 xml:space="preserve">), </w:t>
      </w:r>
      <w:r w:rsidRPr="00AA0CFA">
        <w:rPr>
          <w:rFonts w:ascii="Arial" w:hAnsi="Arial"/>
          <w:sz w:val="22"/>
          <w:lang w:val="hr-HR"/>
        </w:rPr>
        <w:t>članka 1. stavka 2. Pravilnika o najnižem i najvišem iznosu turističke pristojbe (Narodne novine 71/19)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, članka 24. Statuta Zagrebačke županije ("Glasnik Zagrebačke županije" broj 17/09, 31/09, 4/13, 6/13-pročišćeni tekst, 5/18, 14/18, 18/18-pročišćeni tekst</w:t>
      </w:r>
      <w:r>
        <w:rPr>
          <w:rFonts w:ascii="Arial" w:hAnsi="Arial" w:cs="Arial"/>
          <w:kern w:val="2"/>
          <w:sz w:val="22"/>
          <w:szCs w:val="22"/>
          <w:lang w:val="hr-HR"/>
        </w:rPr>
        <w:t xml:space="preserve">, 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3/20</w:t>
      </w:r>
      <w:r>
        <w:rPr>
          <w:rFonts w:ascii="Arial" w:hAnsi="Arial" w:cs="Arial"/>
          <w:kern w:val="2"/>
          <w:sz w:val="22"/>
          <w:szCs w:val="22"/>
          <w:lang w:val="hr-HR"/>
        </w:rPr>
        <w:t>, 23/20, 6/21</w:t>
      </w:r>
      <w:r w:rsidR="00C06997">
        <w:rPr>
          <w:rFonts w:ascii="Arial" w:hAnsi="Arial" w:cs="Arial"/>
          <w:kern w:val="2"/>
          <w:sz w:val="22"/>
          <w:szCs w:val="22"/>
          <w:lang w:val="hr-HR"/>
        </w:rPr>
        <w:t xml:space="preserve">, </w:t>
      </w:r>
      <w:r>
        <w:rPr>
          <w:rFonts w:ascii="Arial" w:hAnsi="Arial" w:cs="Arial"/>
          <w:kern w:val="2"/>
          <w:sz w:val="22"/>
          <w:szCs w:val="22"/>
          <w:lang w:val="hr-HR"/>
        </w:rPr>
        <w:t>10/21 – pročišćeni tekst</w:t>
      </w:r>
      <w:r w:rsidR="00C06997">
        <w:rPr>
          <w:rFonts w:ascii="Arial" w:hAnsi="Arial" w:cs="Arial"/>
          <w:kern w:val="2"/>
          <w:sz w:val="22"/>
          <w:szCs w:val="22"/>
          <w:lang w:val="hr-HR"/>
        </w:rPr>
        <w:t xml:space="preserve"> i 29/23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), i članka 64. Poslovnika Županijske skupštine Zagrebačke županije ("Glasnik Zagrebačke županije" broj 26/09, 5/13, 6/13-pročišćeni tekst, 28/17, 5/18, 14/18, 18/18 –pročišćeni tekst</w:t>
      </w:r>
      <w:r>
        <w:rPr>
          <w:rFonts w:ascii="Arial" w:hAnsi="Arial" w:cs="Arial"/>
          <w:kern w:val="2"/>
          <w:sz w:val="22"/>
          <w:szCs w:val="22"/>
          <w:lang w:val="hr-HR"/>
        </w:rPr>
        <w:t>, 23/20, 34/20, 10/21 – pročišćeni tekst, i 42/21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)</w:t>
      </w:r>
      <w:r w:rsidRPr="00AA0CFA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 w:rsidRPr="00AA0CFA">
        <w:rPr>
          <w:rFonts w:ascii="Arial" w:hAnsi="Arial" w:cs="Arial"/>
          <w:sz w:val="22"/>
          <w:szCs w:val="22"/>
          <w:lang w:val="hr-HR"/>
        </w:rPr>
        <w:t>Ž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upanijska skupština Zagrebačke županije, na __ sjednic</w:t>
      </w:r>
      <w:r>
        <w:rPr>
          <w:rFonts w:ascii="Arial" w:hAnsi="Arial" w:cs="Arial"/>
          <w:kern w:val="2"/>
          <w:sz w:val="22"/>
          <w:szCs w:val="22"/>
          <w:lang w:val="hr-HR"/>
        </w:rPr>
        <w:t>i održanoj dana ___________ 2023</w:t>
      </w:r>
      <w:r w:rsidRPr="00AA0CFA">
        <w:rPr>
          <w:rFonts w:ascii="Arial" w:hAnsi="Arial" w:cs="Arial"/>
          <w:kern w:val="2"/>
          <w:sz w:val="22"/>
          <w:szCs w:val="22"/>
          <w:lang w:val="hr-HR"/>
        </w:rPr>
        <w:t>. godine donijela je</w:t>
      </w:r>
    </w:p>
    <w:p w14:paraId="5273ADCF" w14:textId="77777777" w:rsidR="0005077A" w:rsidRDefault="0005077A" w:rsidP="0005077A">
      <w:pPr>
        <w:rPr>
          <w:rFonts w:ascii="Arial" w:hAnsi="Arial" w:cs="Arial"/>
          <w:b/>
          <w:kern w:val="2"/>
          <w:sz w:val="22"/>
          <w:szCs w:val="22"/>
          <w:highlight w:val="yellow"/>
          <w:lang w:val="hr-HR"/>
        </w:rPr>
      </w:pPr>
    </w:p>
    <w:p w14:paraId="3ADFC1C8" w14:textId="77777777" w:rsidR="0005077A" w:rsidRDefault="0005077A" w:rsidP="0005077A">
      <w:pPr>
        <w:rPr>
          <w:rFonts w:ascii="Arial" w:hAnsi="Arial" w:cs="Arial"/>
          <w:b/>
          <w:kern w:val="2"/>
          <w:sz w:val="22"/>
          <w:szCs w:val="22"/>
          <w:highlight w:val="yellow"/>
          <w:lang w:val="hr-HR"/>
        </w:rPr>
      </w:pPr>
    </w:p>
    <w:p w14:paraId="3519D87E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ODLUKU</w:t>
      </w:r>
      <w:r>
        <w:rPr>
          <w:rFonts w:ascii="Arial" w:hAnsi="Arial"/>
          <w:b/>
          <w:sz w:val="22"/>
          <w:lang w:val="hr-HR"/>
        </w:rPr>
        <w:t xml:space="preserve"> </w:t>
      </w:r>
    </w:p>
    <w:p w14:paraId="3B933483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  <w:r>
        <w:rPr>
          <w:rFonts w:ascii="Arial" w:hAnsi="Arial"/>
          <w:b/>
          <w:sz w:val="22"/>
          <w:lang w:val="hr-HR"/>
        </w:rPr>
        <w:t xml:space="preserve">o visini turističke pristojbe za 2025. godinu </w:t>
      </w:r>
    </w:p>
    <w:p w14:paraId="19525E28" w14:textId="77777777" w:rsidR="0005077A" w:rsidRDefault="0005077A" w:rsidP="0005077A">
      <w:pPr>
        <w:jc w:val="center"/>
        <w:rPr>
          <w:rFonts w:ascii="Arial" w:hAnsi="Arial"/>
          <w:b/>
          <w:kern w:val="2"/>
          <w:sz w:val="22"/>
          <w:lang w:val="hr-HR"/>
        </w:rPr>
      </w:pPr>
      <w:r>
        <w:rPr>
          <w:rFonts w:ascii="Arial" w:hAnsi="Arial"/>
          <w:b/>
          <w:sz w:val="22"/>
          <w:lang w:val="hr-HR"/>
        </w:rPr>
        <w:t>u Zagrebačkoj županiji</w:t>
      </w:r>
    </w:p>
    <w:p w14:paraId="07F2F2D6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14:paraId="0E5AA81A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14:paraId="46EFB54D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I.</w:t>
      </w:r>
    </w:p>
    <w:p w14:paraId="750B2C3A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Ovom Odlukom se određuje visina turističke pristojbe po osobi i noćenju, visina godišnjeg paušalnog iznosa koji plaćaju osobe koje pružaju usluge smještaja u domaćinstvu i na obiteljskom poljoprivrednom gospodarstvu i visina godišnjeg paušalnog iznosa koji plaća vlasnik kuće, apartmana ili stana za odmor za sebe i članove uže obitelji za 2025. godinu u Zagrebačkoj županiji.</w:t>
      </w:r>
    </w:p>
    <w:p w14:paraId="48ACA46E" w14:textId="77777777" w:rsidR="0005077A" w:rsidRDefault="0005077A" w:rsidP="0005077A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22CF770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 xml:space="preserve">II. </w:t>
      </w:r>
    </w:p>
    <w:p w14:paraId="321D579C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Visina turističke pristojbe za osobe koje koriste uslugu noćenja u smještajnom objektu u kojem se obavlja ugostiteljska djelatnost, po osobi i noćenju na području Zagrebačke županije određuje se u iznosu:</w:t>
      </w:r>
    </w:p>
    <w:p w14:paraId="2AB6BFEF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tbl>
      <w:tblPr>
        <w:tblW w:w="8784" w:type="dxa"/>
        <w:tblLayout w:type="fixed"/>
        <w:tblLook w:val="04A0" w:firstRow="1" w:lastRow="0" w:firstColumn="1" w:lastColumn="0" w:noHBand="0" w:noVBand="1"/>
      </w:tblPr>
      <w:tblGrid>
        <w:gridCol w:w="4531"/>
        <w:gridCol w:w="4253"/>
      </w:tblGrid>
      <w:tr w:rsidR="0005077A" w14:paraId="6BAC84C2" w14:textId="77777777" w:rsidTr="00D0743E">
        <w:trPr>
          <w:trHeight w:val="41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F982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val="hr-HR" w:eastAsia="en-US"/>
              </w:rPr>
            </w:pPr>
            <w:r>
              <w:rPr>
                <w:rFonts w:ascii="Arial" w:hAnsi="Arial" w:cs="Arial"/>
                <w:b/>
                <w:color w:val="000000"/>
                <w:lang w:val="hr-HR" w:eastAsia="en-US"/>
              </w:rPr>
              <w:t>Područje (JLS)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738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Razdoblje od 1.1. – 31.12.</w:t>
            </w:r>
          </w:p>
        </w:tc>
      </w:tr>
      <w:tr w:rsidR="00DF52F3" w14:paraId="10F11D84" w14:textId="77777777" w:rsidTr="00D0743E">
        <w:trPr>
          <w:trHeight w:val="4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0F16" w14:textId="1C1F938F" w:rsidR="00DF52F3" w:rsidRPr="00DF52F3" w:rsidRDefault="00DF52F3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Grad: Jastrebarsko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AA677" w14:textId="523CC8BD" w:rsidR="00DF52F3" w:rsidRDefault="00DF52F3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1,80 EUR</w:t>
            </w:r>
          </w:p>
        </w:tc>
      </w:tr>
      <w:tr w:rsidR="0005077A" w14:paraId="07B657B5" w14:textId="77777777" w:rsidTr="00D0743E">
        <w:trPr>
          <w:trHeight w:val="48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0960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3EE2056D" w14:textId="3ECA0C6E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Gradovi: Samobor</w:t>
            </w:r>
          </w:p>
          <w:p w14:paraId="7FF6FE2F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Velika Gorica</w:t>
            </w:r>
          </w:p>
          <w:p w14:paraId="41825E3D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2C17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1,59 EUR</w:t>
            </w:r>
          </w:p>
        </w:tc>
      </w:tr>
      <w:tr w:rsidR="0005077A" w14:paraId="7F2B3DCD" w14:textId="77777777" w:rsidTr="00D0743E">
        <w:trPr>
          <w:trHeight w:val="5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7D10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97DC57F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Gradovi:  Ivanić-Grad</w:t>
            </w:r>
          </w:p>
          <w:p w14:paraId="690E8E8C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Zaprešić</w:t>
            </w:r>
          </w:p>
          <w:p w14:paraId="6E7F82F9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Sveta Nedelja</w:t>
            </w:r>
          </w:p>
          <w:p w14:paraId="2CD07CCD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Dugo Selo</w:t>
            </w:r>
          </w:p>
          <w:p w14:paraId="55507F24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Sveti Ivan Zelina</w:t>
            </w:r>
          </w:p>
          <w:p w14:paraId="0C2A6A8A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Vrbovec</w:t>
            </w:r>
          </w:p>
          <w:p w14:paraId="5245D72B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C5C7ECF" w14:textId="77777777" w:rsidR="0005077A" w:rsidRPr="00DF52F3" w:rsidRDefault="0005077A" w:rsidP="00D0743E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F52F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Općine:  Bedenica, Bistra, Brckovljani, Brdovec, Dubrava, Dubravica, Farkaševac, Gradec, Jakovlje, Klinča Sela, Kloštar Ivanić, Krašić, Kravarsko, Križ, Luka, Marija Gorica, Orle, Pisarovina, Pokupsko, Preseka, Pušća, Rakovec, Rugvica, Stupnik, Žumberak</w:t>
            </w:r>
          </w:p>
          <w:p w14:paraId="6379C482" w14:textId="77777777" w:rsidR="0005077A" w:rsidRPr="00DF52F3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8BFD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1,33 EUR</w:t>
            </w:r>
          </w:p>
        </w:tc>
      </w:tr>
    </w:tbl>
    <w:p w14:paraId="38EED9F5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3E2C68D7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48BEDBF8" w14:textId="77777777" w:rsidR="0005077A" w:rsidRDefault="0005077A" w:rsidP="0005077A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5D098718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lastRenderedPageBreak/>
        <w:t>III.</w:t>
      </w:r>
    </w:p>
    <w:p w14:paraId="519080EE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Visina turističke pristojbe za osobe koje koriste uslugu noćenja u smještajnom objektu u kojem se obavlja ugostiteljska djelatnost iz skupine Kampovi (Kamp i Kamp odmorište) po osobi i noćenju na području Zagrebačke županije određuje se u iznosu:</w:t>
      </w:r>
    </w:p>
    <w:p w14:paraId="2FAF02CD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4390"/>
        <w:gridCol w:w="4110"/>
      </w:tblGrid>
      <w:tr w:rsidR="0005077A" w14:paraId="6575350C" w14:textId="77777777" w:rsidTr="00D0743E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523B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val="hr-HR" w:eastAsia="en-US"/>
              </w:rPr>
            </w:pPr>
            <w:r>
              <w:rPr>
                <w:rFonts w:ascii="Arial" w:hAnsi="Arial" w:cs="Arial"/>
                <w:b/>
                <w:color w:val="000000"/>
                <w:lang w:val="hr-HR" w:eastAsia="en-US"/>
              </w:rPr>
              <w:t>Područje (JLS)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8085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Razdoblje od 1.1. – 31.12.</w:t>
            </w:r>
          </w:p>
        </w:tc>
      </w:tr>
      <w:tr w:rsidR="00DF52F3" w14:paraId="6EF9D025" w14:textId="77777777" w:rsidTr="00D0743E">
        <w:trPr>
          <w:trHeight w:val="55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5F13" w14:textId="7951268D" w:rsidR="00DF52F3" w:rsidRDefault="00DF52F3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Grad: Jastrebarsko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45B5" w14:textId="2016C3BA" w:rsidR="00DF52F3" w:rsidRDefault="00DF52F3" w:rsidP="00DF52F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1,20 EUR</w:t>
            </w:r>
          </w:p>
        </w:tc>
      </w:tr>
      <w:tr w:rsidR="0005077A" w14:paraId="373019E6" w14:textId="77777777" w:rsidTr="00D0743E">
        <w:trPr>
          <w:trHeight w:val="55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F92E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5AE44229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Gradovi:  Dugo Selo</w:t>
            </w:r>
          </w:p>
          <w:p w14:paraId="01CB00AE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Ivanić-Grad</w:t>
            </w:r>
          </w:p>
          <w:p w14:paraId="01407CE6" w14:textId="69426756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Sveta Nedelja</w:t>
            </w:r>
          </w:p>
          <w:p w14:paraId="220443C5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Sveti Ivan Zelina</w:t>
            </w:r>
          </w:p>
          <w:p w14:paraId="18A8A999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Samobor</w:t>
            </w:r>
          </w:p>
          <w:p w14:paraId="197F0712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Zaprešić</w:t>
            </w:r>
          </w:p>
          <w:p w14:paraId="393F0D60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Velika Gorica</w:t>
            </w:r>
          </w:p>
          <w:p w14:paraId="42F0F72D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         Vrbovec               </w:t>
            </w:r>
          </w:p>
          <w:p w14:paraId="31474CAB" w14:textId="77777777" w:rsidR="0005077A" w:rsidRDefault="0005077A" w:rsidP="00D0743E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1755155D" w14:textId="77777777" w:rsidR="0005077A" w:rsidRDefault="0005077A" w:rsidP="00D0743E">
            <w:pPr>
              <w:spacing w:line="25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Općine: Bedenica, Bistra, Brckovljani, Brdovec, Dubrava, Dubravica, Farkaševac, Gradec, Jakovlje, Klinča Sela, Kloštar Ivanić, Krašić, Kravarsko, Križ, Luka, Marija Gorica, Orle, Pisarovina, Pokupsko, Preseka, Pušća, Rakovec, Rugvica, Stupnik, Žumberak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5113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1,06 EUR</w:t>
            </w:r>
          </w:p>
        </w:tc>
      </w:tr>
    </w:tbl>
    <w:p w14:paraId="4B5E57C8" w14:textId="77777777" w:rsidR="0005077A" w:rsidRDefault="0005077A" w:rsidP="0005077A">
      <w:pPr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7D5A7B94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IV.</w:t>
      </w:r>
    </w:p>
    <w:p w14:paraId="1343DA80" w14:textId="572E3BC8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Visina godišnjeg paušalnog iznosa turističke pristojbe za osobe koje pružaju usluge smještaja u domaćinstvu po krevetu iznosi 46,45 EUR za sve jedinice lokalne samouprave na području Zagrebačke županije</w:t>
      </w:r>
      <w:bookmarkStart w:id="0" w:name="_Hlk147297210"/>
      <w:r w:rsidR="00DF52F3">
        <w:rPr>
          <w:rFonts w:ascii="Arial" w:hAnsi="Arial" w:cs="Arial"/>
          <w:kern w:val="2"/>
          <w:sz w:val="22"/>
          <w:szCs w:val="22"/>
          <w:lang w:val="hr-HR"/>
        </w:rPr>
        <w:t xml:space="preserve">, izuzev za područje grada Jastrebarskog za koje iznosi 60,00 EUR. </w:t>
      </w:r>
      <w:bookmarkEnd w:id="0"/>
    </w:p>
    <w:p w14:paraId="2D220C2F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0E3A3CF2" w14:textId="64561EB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Visina godišnjeg paušalnog iznosa turističke pristojbe za osobe koje pružaju usluge smještaja na obiteljskom poljoprivrednom gospodarstvu po krevetu iznosi 26,54 EUR za sve jedinice lokalne samouprave na području Zagrebačke županije</w:t>
      </w:r>
      <w:r w:rsidR="00DF52F3">
        <w:rPr>
          <w:rFonts w:ascii="Arial" w:hAnsi="Arial" w:cs="Arial"/>
          <w:kern w:val="2"/>
          <w:sz w:val="22"/>
          <w:szCs w:val="22"/>
          <w:lang w:val="hr-HR"/>
        </w:rPr>
        <w:t>, izuzev za područje grada Jastrebarskog za koje iznosi 40,00 EUR</w:t>
      </w:r>
      <w:r w:rsidR="009855C3">
        <w:rPr>
          <w:rFonts w:ascii="Arial" w:hAnsi="Arial" w:cs="Arial"/>
          <w:kern w:val="2"/>
          <w:sz w:val="22"/>
          <w:szCs w:val="22"/>
          <w:lang w:val="hr-HR"/>
        </w:rPr>
        <w:t>.</w:t>
      </w:r>
    </w:p>
    <w:p w14:paraId="6B40C988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2F805A66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V.</w:t>
      </w:r>
    </w:p>
    <w:p w14:paraId="6A18B56C" w14:textId="1A48F965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Visina godišnjeg paušalnog iznosa turističke pristojbe za osobe koje pružaju usluge smještaja u domaćinstvu u kampu, kamp odmorištu ili kamp odmorištu – robinzonski smještaj za svaku smještajnu jedinicu određuje se u iznosu od  66,36 EUR,</w:t>
      </w:r>
      <w:r w:rsidR="00DF52F3">
        <w:rPr>
          <w:rFonts w:ascii="Arial" w:hAnsi="Arial" w:cs="Arial"/>
          <w:kern w:val="2"/>
          <w:sz w:val="22"/>
          <w:szCs w:val="22"/>
          <w:lang w:val="hr-HR"/>
        </w:rPr>
        <w:t xml:space="preserve"> izuzev za područje grada Jastrebarskog za koje iznosi 70,00 EUR; </w:t>
      </w:r>
      <w:r>
        <w:rPr>
          <w:rFonts w:ascii="Arial" w:hAnsi="Arial" w:cs="Arial"/>
          <w:kern w:val="2"/>
          <w:sz w:val="22"/>
          <w:szCs w:val="22"/>
          <w:lang w:val="hr-HR"/>
        </w:rPr>
        <w:t>a u istim vrstama na obiteljskom poljoprivrednom gospodarstvu po smještajnoj jedinici određuje se u iznosu od 33,18 EUR za sve jedinice lokalne samouprave na području Zagrebačke županije</w:t>
      </w:r>
      <w:r w:rsidR="00DF52F3">
        <w:rPr>
          <w:rFonts w:ascii="Arial" w:hAnsi="Arial" w:cs="Arial"/>
          <w:kern w:val="2"/>
          <w:sz w:val="22"/>
          <w:szCs w:val="22"/>
          <w:lang w:val="hr-HR"/>
        </w:rPr>
        <w:t>, izuzev za područje grada Jastrebarskog za koje iznosi 40,00 EUR.</w:t>
      </w:r>
    </w:p>
    <w:p w14:paraId="50F4DD2E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5CD60B98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VI.</w:t>
      </w:r>
    </w:p>
    <w:p w14:paraId="1A87B6EA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Turistička pristojba koju plaća vlasnik kuće, apartmana ili stana za odmor u godišnjem paušalnom iznosu za sebe i članove uže obitelji za sve jedinice lokalne samouprave na području Zagrebačke županije iznosi: </w:t>
      </w:r>
    </w:p>
    <w:p w14:paraId="6380E9AD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05077A" w14:paraId="31749B7D" w14:textId="77777777" w:rsidTr="00D0743E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744D" w14:textId="77777777" w:rsidR="0005077A" w:rsidRDefault="0005077A" w:rsidP="00D0743E">
            <w:pPr>
              <w:rPr>
                <w:rFonts w:ascii="Arial" w:hAnsi="Arial" w:cs="Arial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A1BC" w14:textId="779C3B2E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Turistička pristojba </w:t>
            </w:r>
          </w:p>
        </w:tc>
      </w:tr>
      <w:tr w:rsidR="0005077A" w14:paraId="3DA1F52F" w14:textId="77777777" w:rsidTr="00D0743E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DDD5B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Prvi član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C8D2" w14:textId="57DD2D59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7,96</w:t>
            </w:r>
            <w:r w:rsidR="009855C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EUR</w:t>
            </w:r>
          </w:p>
        </w:tc>
      </w:tr>
      <w:tr w:rsidR="0005077A" w14:paraId="714738DC" w14:textId="77777777" w:rsidTr="009120B2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DE33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Drugi član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0101" w14:textId="736460FF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7,96</w:t>
            </w:r>
            <w:r w:rsidR="009855C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EUR</w:t>
            </w:r>
          </w:p>
        </w:tc>
      </w:tr>
      <w:tr w:rsidR="0005077A" w14:paraId="4FAD9B25" w14:textId="77777777" w:rsidTr="009120B2">
        <w:trPr>
          <w:trHeight w:val="5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D4449" w14:textId="77777777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Za svakog sljedećeg člana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81CF" w14:textId="58856DAC" w:rsidR="0005077A" w:rsidRDefault="0005077A" w:rsidP="00D0743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3,32</w:t>
            </w:r>
            <w:r w:rsidR="009855C3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EUR</w:t>
            </w:r>
          </w:p>
        </w:tc>
      </w:tr>
    </w:tbl>
    <w:p w14:paraId="5225B614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4D2A3773" w14:textId="15D1BE0B" w:rsidR="009120B2" w:rsidRDefault="009120B2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Za područje grada Jastrebarsko turistička pristojba koju plaća vlasnik kuće, apartmana ili stana za odmor u godišnjem paušalnom iznosu za sebe i članove uže obitelji iznosi: </w:t>
      </w:r>
    </w:p>
    <w:p w14:paraId="51AF0843" w14:textId="77777777" w:rsidR="009120B2" w:rsidRDefault="009120B2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</w:tblGrid>
      <w:tr w:rsidR="009120B2" w14:paraId="5ED1A5BD" w14:textId="77777777" w:rsidTr="00E26F07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9949" w14:textId="77777777" w:rsidR="009120B2" w:rsidRDefault="009120B2" w:rsidP="00E26F07">
            <w:pPr>
              <w:rPr>
                <w:rFonts w:ascii="Arial" w:hAnsi="Arial" w:cs="Arial"/>
                <w:kern w:val="2"/>
                <w:sz w:val="22"/>
                <w:szCs w:val="22"/>
                <w:lang w:val="hr-HR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35DA" w14:textId="77777777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Turistička pristojba </w:t>
            </w:r>
          </w:p>
        </w:tc>
      </w:tr>
      <w:tr w:rsidR="009120B2" w14:paraId="2AED1A63" w14:textId="77777777" w:rsidTr="00E26F07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0AF" w14:textId="77777777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Prvi član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6810" w14:textId="4742DD98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10,00 EUR</w:t>
            </w:r>
          </w:p>
        </w:tc>
      </w:tr>
      <w:tr w:rsidR="009120B2" w14:paraId="243A9672" w14:textId="77777777" w:rsidTr="00E26F07">
        <w:trPr>
          <w:trHeight w:val="5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0315" w14:textId="77777777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Drugi član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2288" w14:textId="6A78D491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10,00 EUR</w:t>
            </w:r>
          </w:p>
        </w:tc>
      </w:tr>
      <w:tr w:rsidR="009120B2" w14:paraId="7B9D6126" w14:textId="77777777" w:rsidTr="00E26F07">
        <w:trPr>
          <w:trHeight w:val="5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17D" w14:textId="77777777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Za svakog sljedećeg člana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DC98" w14:textId="130ACB15" w:rsidR="009120B2" w:rsidRDefault="009120B2" w:rsidP="00E26F0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5,00 EUR</w:t>
            </w:r>
          </w:p>
        </w:tc>
      </w:tr>
    </w:tbl>
    <w:p w14:paraId="37F0F9BA" w14:textId="77777777" w:rsidR="009120B2" w:rsidRDefault="009120B2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20D91323" w14:textId="77777777" w:rsidR="009120B2" w:rsidRDefault="009120B2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0BC6FCBA" w14:textId="32A93814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Turistička pristojba koju plaća vlasnik kuće, apartmana ili stana za odmor za sebe i sve osobe koje noće u toj kući, apartmanu ili stanu za odmor koji turističku pristojbu plaćaju po svakom ostvarenom noćenju, određuje se u visini utvrđenoj u članku 2. ove Odluke.</w:t>
      </w:r>
    </w:p>
    <w:p w14:paraId="6BDA2EC7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2C4185E0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68B9A655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 w:rsidRPr="00B8692C">
        <w:rPr>
          <w:rFonts w:ascii="Arial" w:hAnsi="Arial" w:cs="Arial"/>
          <w:b/>
          <w:kern w:val="2"/>
          <w:sz w:val="22"/>
          <w:szCs w:val="22"/>
          <w:lang w:val="hr-HR"/>
        </w:rPr>
        <w:t>VII.</w:t>
      </w:r>
    </w:p>
    <w:p w14:paraId="352F016B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</w:p>
    <w:p w14:paraId="675626FB" w14:textId="46B65DDF" w:rsidR="0005077A" w:rsidRPr="00B8692C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 w:rsidRPr="009120B2">
        <w:rPr>
          <w:rFonts w:ascii="Arial" w:hAnsi="Arial" w:cs="Arial"/>
          <w:kern w:val="2"/>
          <w:sz w:val="22"/>
          <w:szCs w:val="22"/>
          <w:lang w:val="hr-HR"/>
        </w:rPr>
        <w:t>Za jedinice lokalne samouprave na čijem području nije osnovana turistička zajednica a koje spadaju u potpomognuta područja, odnosno od I. - IV. kategorije razvijenosti</w:t>
      </w:r>
      <w:r w:rsidR="009120B2" w:rsidRPr="009120B2">
        <w:rPr>
          <w:rFonts w:ascii="Arial" w:hAnsi="Arial" w:cs="Arial"/>
          <w:kern w:val="2"/>
          <w:sz w:val="22"/>
          <w:szCs w:val="22"/>
          <w:lang w:val="hr-HR"/>
        </w:rPr>
        <w:t xml:space="preserve"> jedinica lokalne samouprave</w:t>
      </w:r>
      <w:r w:rsidRPr="009120B2">
        <w:rPr>
          <w:rFonts w:ascii="Arial" w:hAnsi="Arial" w:cs="Arial"/>
          <w:kern w:val="2"/>
          <w:sz w:val="22"/>
          <w:szCs w:val="22"/>
          <w:lang w:val="hr-HR"/>
        </w:rPr>
        <w:t xml:space="preserve"> (</w:t>
      </w:r>
      <w:r w:rsidRPr="009120B2">
        <w:rPr>
          <w:rFonts w:ascii="Arial" w:hAnsi="Arial" w:cs="Arial"/>
          <w:sz w:val="22"/>
          <w:szCs w:val="22"/>
        </w:rPr>
        <w:t>Bedenica, Brckovljani, Dubrava, Farkaševac, Gradec, Orle, Pokupsko, Preseka, Rakovec, Žumberak</w:t>
      </w:r>
      <w:r w:rsidRPr="009120B2">
        <w:rPr>
          <w:rFonts w:ascii="Arial" w:hAnsi="Arial" w:cs="Arial"/>
          <w:kern w:val="2"/>
          <w:sz w:val="22"/>
          <w:szCs w:val="22"/>
          <w:lang w:val="hr-HR"/>
        </w:rPr>
        <w:t>) iznos turističke pristojbe umanjuje se za 30% od najnižeg iznosa za navedeno područje.</w:t>
      </w:r>
    </w:p>
    <w:p w14:paraId="6F226577" w14:textId="77777777" w:rsidR="0005077A" w:rsidRPr="00B8692C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159B70DB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lang w:val="hr-HR"/>
        </w:rPr>
      </w:pPr>
      <w:r>
        <w:rPr>
          <w:rFonts w:ascii="Arial" w:hAnsi="Arial" w:cs="Arial"/>
          <w:b/>
          <w:kern w:val="2"/>
          <w:sz w:val="22"/>
          <w:szCs w:val="22"/>
          <w:lang w:val="hr-HR"/>
        </w:rPr>
        <w:t>VIII.</w:t>
      </w:r>
    </w:p>
    <w:p w14:paraId="07454752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</w:p>
    <w:p w14:paraId="07CDCC64" w14:textId="77777777" w:rsidR="0005077A" w:rsidRDefault="0005077A" w:rsidP="0005077A">
      <w:pPr>
        <w:jc w:val="both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Ova Odluka stupa na snagu osmog dana od dana objave u "Glasniku Zagrebačke županije".</w:t>
      </w:r>
    </w:p>
    <w:p w14:paraId="7D26C342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14:paraId="531DBE40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14:paraId="37188015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highlight w:val="yellow"/>
          <w:lang w:val="hr-HR"/>
        </w:rPr>
      </w:pPr>
    </w:p>
    <w:p w14:paraId="41F66F82" w14:textId="77777777" w:rsidR="0005077A" w:rsidRDefault="0005077A" w:rsidP="0005077A">
      <w:pPr>
        <w:jc w:val="center"/>
        <w:rPr>
          <w:rFonts w:ascii="Arial" w:hAnsi="Arial" w:cs="Arial"/>
          <w:b/>
          <w:kern w:val="2"/>
          <w:sz w:val="22"/>
          <w:szCs w:val="22"/>
          <w:highlight w:val="yellow"/>
          <w:lang w:val="hr-HR"/>
        </w:rPr>
      </w:pPr>
    </w:p>
    <w:p w14:paraId="2620ABD0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highlight w:val="yellow"/>
          <w:lang w:val="hr-HR"/>
        </w:rPr>
      </w:pPr>
    </w:p>
    <w:p w14:paraId="4E6C1F61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KLASA: </w:t>
      </w:r>
    </w:p>
    <w:p w14:paraId="24FCBDC2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URBROJ: </w:t>
      </w:r>
    </w:p>
    <w:p w14:paraId="0F087613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>U Zagrebu, _________ 2023.</w:t>
      </w:r>
    </w:p>
    <w:p w14:paraId="52A66C07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</w:p>
    <w:p w14:paraId="558B1A10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  <w:t xml:space="preserve"> PREDSJEDNICA</w:t>
      </w:r>
    </w:p>
    <w:p w14:paraId="5473C9A1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</w:r>
      <w:r>
        <w:rPr>
          <w:rFonts w:ascii="Arial" w:hAnsi="Arial" w:cs="Arial"/>
          <w:kern w:val="2"/>
          <w:sz w:val="22"/>
          <w:szCs w:val="22"/>
          <w:lang w:val="hr-HR"/>
        </w:rPr>
        <w:tab/>
        <w:t xml:space="preserve">    ŽUPANIJSKE SKUPŠTINE</w:t>
      </w:r>
    </w:p>
    <w:p w14:paraId="790AFBF4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                                                                                     ZAGREBAČKE ŽUPANIJE</w:t>
      </w:r>
    </w:p>
    <w:p w14:paraId="3570B102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</w:p>
    <w:p w14:paraId="3F436CD3" w14:textId="77777777" w:rsidR="0005077A" w:rsidRDefault="0005077A" w:rsidP="0005077A">
      <w:pPr>
        <w:rPr>
          <w:rFonts w:ascii="Arial" w:hAnsi="Arial" w:cs="Arial"/>
          <w:kern w:val="2"/>
          <w:sz w:val="22"/>
          <w:szCs w:val="22"/>
          <w:lang w:val="hr-HR"/>
        </w:rPr>
      </w:pPr>
    </w:p>
    <w:p w14:paraId="18B29EFD" w14:textId="77777777" w:rsidR="0005077A" w:rsidRDefault="0005077A" w:rsidP="0005077A">
      <w:pPr>
        <w:ind w:left="5040"/>
        <w:rPr>
          <w:rFonts w:ascii="Arial" w:hAnsi="Arial" w:cs="Arial"/>
          <w:kern w:val="2"/>
          <w:sz w:val="22"/>
          <w:szCs w:val="22"/>
          <w:lang w:val="hr-HR"/>
        </w:rPr>
      </w:pPr>
      <w:r>
        <w:rPr>
          <w:rFonts w:ascii="Arial" w:hAnsi="Arial" w:cs="Arial"/>
          <w:kern w:val="2"/>
          <w:sz w:val="22"/>
          <w:szCs w:val="22"/>
          <w:lang w:val="hr-HR"/>
        </w:rPr>
        <w:t xml:space="preserve">          Martina Glasnović </w:t>
      </w:r>
    </w:p>
    <w:p w14:paraId="178A1C91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</w:p>
    <w:p w14:paraId="2876932F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</w:p>
    <w:p w14:paraId="67F947DD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</w:p>
    <w:p w14:paraId="6146E8A9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</w:p>
    <w:p w14:paraId="78589380" w14:textId="77777777" w:rsidR="0005077A" w:rsidRDefault="0005077A" w:rsidP="0005077A">
      <w:pPr>
        <w:jc w:val="center"/>
        <w:rPr>
          <w:rFonts w:ascii="Arial" w:hAnsi="Arial"/>
          <w:b/>
          <w:sz w:val="22"/>
          <w:lang w:val="hr-HR"/>
        </w:rPr>
      </w:pPr>
    </w:p>
    <w:p w14:paraId="791F9C38" w14:textId="77777777" w:rsidR="0005077A" w:rsidRDefault="0005077A" w:rsidP="0005077A"/>
    <w:p w14:paraId="75CBD0AD" w14:textId="77777777" w:rsidR="0005077A" w:rsidRDefault="0005077A"/>
    <w:sectPr w:rsidR="000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A"/>
    <w:rsid w:val="0005077A"/>
    <w:rsid w:val="009120B2"/>
    <w:rsid w:val="009855C3"/>
    <w:rsid w:val="00A61514"/>
    <w:rsid w:val="00C06997"/>
    <w:rsid w:val="00D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02F0"/>
  <w15:chartTrackingRefBased/>
  <w15:docId w15:val="{74E555F5-DBCF-4EF2-A35E-132736C8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77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ema-racki@zagzup.zagrebacka-zupanija.hr</dc:creator>
  <cp:keywords/>
  <dc:description/>
  <cp:lastModifiedBy>dragana-bedenik</cp:lastModifiedBy>
  <cp:revision>3</cp:revision>
  <cp:lastPrinted>2023-10-04T05:39:00Z</cp:lastPrinted>
  <dcterms:created xsi:type="dcterms:W3CDTF">2023-10-04T05:40:00Z</dcterms:created>
  <dcterms:modified xsi:type="dcterms:W3CDTF">2023-10-06T11:34:00Z</dcterms:modified>
</cp:coreProperties>
</file>